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R4-2205409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Requirements under RRC Connected mode for RedCap UEs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10.20.3.1.2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RAN4 101-e-bis, there were discussions on mobility issues for RedCap UEs. 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In the WF [1] the options were captured, and we copy paste some of the issues here to further discuss.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43" w:type="dxa"/>
          </w:tcPr>
          <w:p>
            <w:pP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Requirements for HD-FDD in HO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Option 1 (Xiaomi, Apple, vivo, HW, MTK): </w:t>
            </w:r>
          </w:p>
          <w:p>
            <w:pPr>
              <w:pStyle w:val="26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RRM DL measurement is prioritized over the UL transmission of HD-FDD for RedCap UE in HO requirement.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Option 2 (vivo, CMCC, E///, Nokia, ZTE, QC,MTK)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: The UE shall meet HO requirements provided the following is met:</w:t>
            </w:r>
          </w:p>
          <w:p>
            <w:pPr>
              <w:pStyle w:val="26"/>
              <w:numPr>
                <w:ilvl w:val="2"/>
                <w:numId w:val="7"/>
              </w:numPr>
              <w:ind w:firstLineChars="0"/>
              <w:rPr>
                <w:rFonts w:eastAsia="Yu Mincho"/>
                <w:bCs/>
                <w:color w:val="000000"/>
                <w:lang w:eastAsia="ko-KR"/>
              </w:rPr>
            </w:pPr>
            <w:r>
              <w:rPr>
                <w:rFonts w:eastAsia="Times New Roman"/>
                <w:lang w:eastAsia="sv-SE"/>
              </w:rPr>
              <w:t>SSB is available at the UE once every SMTC period during Tsearch.</w:t>
            </w:r>
          </w:p>
          <w:p>
            <w:pPr>
              <w:pStyle w:val="26"/>
              <w:numPr>
                <w:ilvl w:val="2"/>
                <w:numId w:val="7"/>
              </w:numPr>
              <w:ind w:firstLineChars="0"/>
              <w:rPr>
                <w:rFonts w:hint="eastAsia" w:ascii="Arial" w:hAnsi="Arial" w:eastAsia="宋体" w:cs="Arial"/>
                <w:bCs/>
                <w:lang w:val="en-US" w:eastAsia="zh-CN"/>
              </w:rPr>
            </w:pPr>
            <w:r>
              <w:rPr>
                <w:rFonts w:eastAsia="Times New Roman"/>
                <w:lang w:eastAsia="sv-SE"/>
              </w:rPr>
              <w:t>One SSB is available during T</w:t>
            </w:r>
            <w:r>
              <w:rPr>
                <w:rFonts w:eastAsia="Times New Roman"/>
                <w:vertAlign w:val="subscript"/>
                <w:lang w:eastAsia="sv-SE"/>
              </w:rPr>
              <w:t>∆</w:t>
            </w:r>
          </w:p>
          <w:p>
            <w:pPr>
              <w:pStyle w:val="26"/>
              <w:numPr>
                <w:ilvl w:val="2"/>
                <w:numId w:val="7"/>
              </w:numPr>
              <w:ind w:firstLineChars="0"/>
              <w:rPr>
                <w:rFonts w:hint="eastAsia" w:ascii="Arial" w:hAnsi="Arial" w:eastAsia="宋体" w:cs="Arial"/>
                <w:bCs/>
                <w:lang w:val="en-US" w:eastAsia="zh-CN"/>
              </w:rPr>
            </w:pPr>
            <w:r>
              <w:rPr>
                <w:rFonts w:eastAsia="Times New Roman"/>
                <w:lang w:eastAsia="sv-SE"/>
              </w:rPr>
              <w:t>One SSB is available during Tiu</w:t>
            </w:r>
          </w:p>
          <w:p>
            <w:pPr>
              <w:pStyle w:val="26"/>
              <w:numPr>
                <w:ilvl w:val="0"/>
                <w:numId w:val="0"/>
              </w:numPr>
              <w:rPr>
                <w:rFonts w:eastAsia="Times New Roman"/>
                <w:lang w:eastAsia="sv-SE"/>
              </w:rPr>
            </w:pPr>
          </w:p>
          <w:p>
            <w:pPr>
              <w:rPr>
                <w:lang w:val="en-US" w:eastAsia="zh-CN"/>
              </w:rPr>
            </w:pPr>
            <w:r>
              <w:rPr>
                <w:b/>
                <w:color w:val="000000" w:themeColor="text1"/>
                <w:u w:val="single"/>
                <w:lang w:eastAsia="ko-KR"/>
                <w14:textFill>
                  <w14:solidFill>
                    <w14:schemeClr w14:val="tx1"/>
                  </w14:solidFill>
                </w14:textFill>
              </w:rPr>
              <w:t>Impact due to early identification in RA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 w:eastAsia="Times New Roman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 (ZTE, HW, E///, Apple, vivo):</w:t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sz w:val="22"/>
                <w:szCs w:val="22"/>
                <w:lang w:eastAsia="zh-CN"/>
              </w:rPr>
              <w:t>Early identification doesn</w:t>
            </w:r>
            <w:r>
              <w:rPr>
                <w:sz w:val="22"/>
                <w:szCs w:val="22"/>
                <w:lang w:eastAsia="zh-CN"/>
              </w:rPr>
              <w:t>’</w:t>
            </w:r>
            <w:r>
              <w:rPr>
                <w:rFonts w:hint="eastAsia"/>
                <w:sz w:val="22"/>
                <w:szCs w:val="22"/>
                <w:lang w:eastAsia="zh-CN"/>
              </w:rPr>
              <w:t>t impact RA requirements.</w:t>
            </w:r>
          </w:p>
          <w:p>
            <w:pPr>
              <w:pStyle w:val="26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hint="eastAsia" w:eastAsia="Times New Roman"/>
                <w:lang w:val="en-US" w:eastAsia="zh-CN"/>
              </w:rPr>
            </w:pP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 (E///, MTK, Xiaomi, Nokia):</w:t>
            </w:r>
            <w:r>
              <w:rPr>
                <w:rFonts w:eastAsia="宋体"/>
                <w:b/>
                <w:bCs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t>RAN4 capture the RedCap UE early indication procedure in TS38.133 6.2.2 after RAN2 conclude the procedures</w:t>
            </w:r>
          </w:p>
        </w:tc>
      </w:tr>
    </w:tbl>
    <w:p>
      <w:pPr>
        <w:pStyle w:val="36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issues listed above and provide our views.</w:t>
      </w:r>
    </w:p>
    <w:p>
      <w:pPr>
        <w:rPr>
          <w:rFonts w:hint="default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also discusses issues related to an incoming RAN2 LS [2].</w:t>
      </w:r>
    </w:p>
    <w:p>
      <w:pPr>
        <w:pStyle w:val="28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2"/>
          <w:szCs w:val="22"/>
          <w:u w:val="single"/>
          <w:lang w:eastAsia="ko-KR"/>
          <w14:textFill>
            <w14:solidFill>
              <w14:schemeClr w14:val="tx1"/>
            </w14:solidFill>
          </w14:textFill>
        </w:rPr>
        <w:t>Requirements for HD-FDD in HO</w:t>
      </w:r>
    </w:p>
    <w:p>
      <w:pPr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We think that the intention can be understood, but there are some details to check. First of all what is included in the scope of </w:t>
      </w:r>
      <w:r>
        <w:rPr>
          <w:rFonts w:hint="default"/>
          <w:b w:val="0"/>
          <w:bCs/>
          <w:sz w:val="22"/>
          <w:szCs w:val="22"/>
          <w:lang w:val="en-US" w:eastAsia="zh-CN"/>
        </w:rPr>
        <w:t>“</w:t>
      </w:r>
      <w:r>
        <w:rPr>
          <w:rFonts w:hint="eastAsia"/>
          <w:b w:val="0"/>
          <w:bCs/>
          <w:sz w:val="22"/>
          <w:szCs w:val="22"/>
          <w:lang w:val="en-US" w:eastAsia="zh-CN"/>
        </w:rPr>
        <w:t>UL</w:t>
      </w:r>
      <w:r>
        <w:rPr>
          <w:rFonts w:hint="default"/>
          <w:b w:val="0"/>
          <w:bCs/>
          <w:sz w:val="22"/>
          <w:szCs w:val="22"/>
          <w:lang w:val="en-US" w:eastAsia="zh-CN"/>
        </w:rPr>
        <w:t>”</w:t>
      </w: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 transmission in the proposal of </w:t>
      </w:r>
      <w:r>
        <w:rPr>
          <w:rFonts w:hint="default"/>
          <w:b w:val="0"/>
          <w:bCs/>
          <w:sz w:val="22"/>
          <w:szCs w:val="22"/>
          <w:lang w:val="en-US" w:eastAsia="zh-CN"/>
        </w:rPr>
        <w:t>“DL measurement is prioritized over the UL transmission”</w:t>
      </w:r>
      <w:r>
        <w:rPr>
          <w:rFonts w:hint="eastAsia"/>
          <w:b w:val="0"/>
          <w:bCs/>
          <w:sz w:val="22"/>
          <w:szCs w:val="22"/>
          <w:lang w:val="en-US" w:eastAsia="zh-CN"/>
        </w:rPr>
        <w:t>? In our view, RACH shall have the top priority and RACH is transmitted in UL. Thus, this proposal may not be beneficial.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RACH is transmitted in UL and shall have the top priority during HO.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We also prefer not to capture anything that would limit the UE or network behavior. Any such proposals can be captured in the spec in a way that describes the applicability of the requirements, instead of the specific UE/NW behavior.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Any agreement can be captured in the spec in a way that describes the applicability of the requirements, instead of mandating specific UE/NW behavior.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Thus, we propose to go with Option 2, which is</w:t>
      </w:r>
    </w:p>
    <w:p>
      <w:pPr>
        <w:pStyle w:val="26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The UE shall meet HO requirements provided the following is met:</w:t>
      </w:r>
    </w:p>
    <w:p>
      <w:pPr>
        <w:pStyle w:val="26"/>
        <w:numPr>
          <w:ilvl w:val="2"/>
          <w:numId w:val="7"/>
        </w:numPr>
        <w:ind w:firstLineChars="0"/>
        <w:rPr>
          <w:rFonts w:eastAsia="Yu Mincho"/>
          <w:bCs/>
          <w:color w:val="000000"/>
          <w:sz w:val="22"/>
          <w:szCs w:val="22"/>
          <w:lang w:eastAsia="ko-KR"/>
        </w:rPr>
      </w:pPr>
      <w:r>
        <w:rPr>
          <w:rFonts w:eastAsia="Times New Roman"/>
          <w:sz w:val="22"/>
          <w:szCs w:val="22"/>
          <w:lang w:eastAsia="sv-SE"/>
        </w:rPr>
        <w:t>SSB is available at the UE once every SMTC period during Tsearch.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sz w:val="22"/>
          <w:szCs w:val="22"/>
          <w:lang w:val="en-US" w:eastAsia="zh-CN"/>
        </w:rPr>
      </w:pPr>
      <w:r>
        <w:rPr>
          <w:rFonts w:eastAsia="Times New Roman"/>
          <w:sz w:val="22"/>
          <w:szCs w:val="22"/>
          <w:lang w:eastAsia="sv-SE"/>
        </w:rPr>
        <w:t>One SSB is available during T</w:t>
      </w:r>
      <w:r>
        <w:rPr>
          <w:rFonts w:eastAsia="Times New Roman"/>
          <w:sz w:val="22"/>
          <w:szCs w:val="22"/>
          <w:vertAlign w:val="subscript"/>
          <w:lang w:eastAsia="sv-SE"/>
        </w:rPr>
        <w:t>∆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sz w:val="22"/>
          <w:szCs w:val="22"/>
          <w:lang w:val="en-US" w:eastAsia="zh-CN"/>
        </w:rPr>
      </w:pPr>
      <w:r>
        <w:rPr>
          <w:rFonts w:eastAsia="Times New Roman"/>
          <w:sz w:val="22"/>
          <w:szCs w:val="22"/>
          <w:lang w:eastAsia="sv-SE"/>
        </w:rPr>
        <w:t>One SSB is available during Tiu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</w:p>
    <w:p>
      <w:pPr>
        <w:pStyle w:val="26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The UE shall meet HO requirements provided the following is met:</w:t>
      </w:r>
    </w:p>
    <w:p>
      <w:pPr>
        <w:pStyle w:val="26"/>
        <w:numPr>
          <w:ilvl w:val="2"/>
          <w:numId w:val="7"/>
        </w:numPr>
        <w:ind w:firstLineChars="0"/>
        <w:rPr>
          <w:rFonts w:eastAsia="Yu Mincho"/>
          <w:b/>
          <w:bCs/>
          <w:color w:val="000000"/>
          <w:sz w:val="22"/>
          <w:szCs w:val="22"/>
          <w:lang w:eastAsia="ko-KR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SSB is available at the UE once every SMTC period during Tsearch.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One SSB is available during T</w:t>
      </w:r>
      <w:r>
        <w:rPr>
          <w:rFonts w:eastAsia="Times New Roman"/>
          <w:b/>
          <w:bCs/>
          <w:sz w:val="22"/>
          <w:szCs w:val="22"/>
          <w:vertAlign w:val="subscript"/>
          <w:lang w:eastAsia="sv-SE"/>
        </w:rPr>
        <w:t>∆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One SSB is available during Tiu</w:t>
      </w:r>
    </w:p>
    <w:p>
      <w:pPr>
        <w:rPr>
          <w:rFonts w:hint="default"/>
          <w:sz w:val="22"/>
          <w:szCs w:val="22"/>
          <w:lang w:val="en-US" w:eastAsia="zh-CN"/>
        </w:rPr>
      </w:pPr>
    </w:p>
    <w:p>
      <w:pPr>
        <w:rPr>
          <w:b/>
          <w:bCs/>
          <w:u w:val="single"/>
          <w:lang w:val="en-US"/>
        </w:rPr>
      </w:pPr>
      <w:r>
        <w:rPr>
          <w:b/>
          <w:color w:val="000000" w:themeColor="text1"/>
          <w:u w:val="single"/>
          <w:lang w:eastAsia="ko-KR"/>
          <w14:textFill>
            <w14:solidFill>
              <w14:schemeClr w14:val="tx1"/>
            </w14:solidFill>
          </w14:textFill>
        </w:rPr>
        <w:t>Impact due to early identification in RA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We have one thing to clarify on, which is the early identification. From our understanding early identification is to help the network to identify that a UE belongs to RedCap category or not, and is a purely network behavior / function. We don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see why this would impact RA requirements on the UE side.</w:t>
      </w:r>
    </w:p>
    <w:p>
      <w:pPr>
        <w:pStyle w:val="36"/>
        <w:rPr>
          <w:rFonts w:hint="default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Early identification doesn</w:t>
      </w:r>
      <w:r>
        <w:rPr>
          <w:rFonts w:hint="default"/>
          <w:b/>
          <w:bCs w:val="0"/>
          <w:sz w:val="22"/>
          <w:szCs w:val="22"/>
          <w:lang w:val="en-US" w:eastAsia="zh-CN"/>
        </w:rPr>
        <w:t>’</w:t>
      </w:r>
      <w:r>
        <w:rPr>
          <w:rFonts w:hint="eastAsia"/>
          <w:b/>
          <w:bCs w:val="0"/>
          <w:sz w:val="22"/>
          <w:szCs w:val="22"/>
          <w:lang w:val="en-US" w:eastAsia="zh-CN"/>
        </w:rPr>
        <w:t>t impact RA requirements.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In the incoming RAN2 LS [2], it says: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Regarding the following scenario mentioned by RAN1 in the LS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provided in </w:t>
            </w:r>
            <w:r>
              <w:rPr>
                <w:rFonts w:ascii="Arial" w:hAnsi="Arial" w:cs="Arial"/>
                <w:sz w:val="20"/>
                <w:szCs w:val="20"/>
              </w:rPr>
              <w:t xml:space="preserve">R1-2112802: </w:t>
            </w:r>
          </w:p>
          <w:p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 w:line="231" w:lineRule="atLeast"/>
              <w:jc w:val="left"/>
              <w:rPr>
                <w:rFonts w:ascii="Arial" w:hAnsi="Arial" w:cs="Arial"/>
                <w:bCs/>
                <w:sz w:val="20"/>
                <w:lang w:eastAsia="zh-CN"/>
              </w:rPr>
            </w:pPr>
            <w:r>
              <w:rPr>
                <w:rFonts w:ascii="Arial" w:hAnsi="Arial" w:cs="Arial"/>
                <w:bCs/>
                <w:sz w:val="20"/>
                <w:lang w:eastAsia="zh-CN"/>
              </w:rPr>
              <w:t>For a separate initial DL BWP (if it does not include CD-SSB and the entire CORESET#0) from RAN1 perspective,</w:t>
            </w:r>
          </w:p>
          <w:p>
            <w:pPr>
              <w:numPr>
                <w:ilvl w:val="1"/>
                <w:numId w:val="8"/>
              </w:numPr>
              <w:autoSpaceDE/>
              <w:autoSpaceDN/>
              <w:adjustRightInd/>
              <w:snapToGrid/>
              <w:spacing w:after="0" w:line="231" w:lineRule="atLeast"/>
              <w:jc w:val="left"/>
              <w:rPr>
                <w:bCs/>
                <w:lang w:eastAsia="zh-CN"/>
              </w:rPr>
            </w:pPr>
            <w:r>
              <w:rPr>
                <w:rFonts w:ascii="Arial" w:hAnsi="Arial" w:cs="Arial"/>
                <w:bCs/>
                <w:sz w:val="20"/>
                <w:highlight w:val="yellow"/>
                <w:lang w:eastAsia="zh-CN"/>
              </w:rPr>
              <w:t>If it is configured for random access while not for paging in idle/inactive mode, RedCap UE does NOT expect it to contain SSB/CORESET#0/SIB</w:t>
            </w:r>
            <w:r>
              <w:rPr>
                <w:rFonts w:ascii="Arial" w:hAnsi="Arial" w:cs="Arial"/>
                <w:bCs/>
                <w:sz w:val="20"/>
                <w:lang w:eastAsia="zh-CN"/>
              </w:rPr>
              <w:t>.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RAN2 has discussed this scenario and how a RedCap UE performs RSRP measurements before Msg1 or MsgA retransmission on separate initial UL BWP and agreed on the following."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pStyle w:val="26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“From RAN2 perspective, if a RedCap UE in idle/inactive mode is configured with a separate initial BWP associated with no SSB (CD or NCD) for RACH, </w:t>
            </w:r>
            <w:r>
              <w:rPr>
                <w:rFonts w:ascii="Arial" w:hAnsi="Arial" w:cs="Arial"/>
                <w:sz w:val="20"/>
                <w:szCs w:val="20"/>
                <w:highlight w:val="cyan"/>
              </w:rPr>
              <w:t>it is up to UE implementation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to perform new RSRP measurement in a DL BWP associated with CD-SSB before Msg1/A retransmission.”</w:t>
            </w:r>
          </w:p>
          <w:p>
            <w:pPr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RAN2 respectfully asks RAN4 and RAN1 to take the agreement above into consideration and check if any update is required in their specifications.</w:t>
            </w:r>
          </w:p>
        </w:tc>
      </w:tr>
    </w:tbl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It is unclear how to interpret </w:t>
      </w:r>
      <w:r>
        <w:rPr>
          <w:rFonts w:hint="default"/>
          <w:b w:val="0"/>
          <w:bCs/>
          <w:sz w:val="22"/>
          <w:szCs w:val="22"/>
          <w:lang w:val="en-US" w:eastAsia="zh-CN"/>
        </w:rPr>
        <w:t>“</w:t>
      </w:r>
      <w:r>
        <w:rPr>
          <w:rFonts w:ascii="Arial" w:hAnsi="Arial" w:cs="Arial"/>
          <w:sz w:val="20"/>
          <w:szCs w:val="20"/>
          <w:highlight w:val="cyan"/>
        </w:rPr>
        <w:t>it is up to UE implementation</w:t>
      </w:r>
      <w:r>
        <w:rPr>
          <w:rFonts w:hint="eastAsia" w:ascii="Arial" w:hAnsi="Arial" w:eastAsia="宋体" w:cs="Arial"/>
          <w:sz w:val="20"/>
          <w:szCs w:val="20"/>
          <w:highlight w:val="cyan"/>
          <w:lang w:val="en-US" w:eastAsia="zh-CN"/>
        </w:rPr>
        <w:t>...</w:t>
      </w:r>
      <w:r>
        <w:rPr>
          <w:rFonts w:hint="default"/>
          <w:b w:val="0"/>
          <w:bCs/>
          <w:sz w:val="22"/>
          <w:szCs w:val="22"/>
          <w:lang w:val="en-US" w:eastAsia="zh-CN"/>
        </w:rPr>
        <w:t>”</w:t>
      </w:r>
      <w:r>
        <w:rPr>
          <w:rFonts w:hint="eastAsia"/>
          <w:b w:val="0"/>
          <w:bCs/>
          <w:sz w:val="22"/>
          <w:szCs w:val="22"/>
          <w:lang w:val="en-US" w:eastAsia="zh-CN"/>
        </w:rPr>
        <w:t>, whether it means UE can choose not to switch to another BWP or does it mean that there will be no corresponding RRM requirements?</w:t>
      </w:r>
    </w:p>
    <w:p>
      <w:pPr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Actually there is another technical solution to this, which is to allow the network to configure a NCD-SSB in the separate initial BWP for IDLE / INACTIVE UEs. Although RAN1 agreement didn</w:t>
      </w:r>
      <w:r>
        <w:rPr>
          <w:rFonts w:hint="default"/>
          <w:b w:val="0"/>
          <w:bCs/>
          <w:sz w:val="22"/>
          <w:szCs w:val="22"/>
          <w:lang w:val="en-US" w:eastAsia="zh-CN"/>
        </w:rPr>
        <w:t>’</w:t>
      </w:r>
      <w:r>
        <w:rPr>
          <w:rFonts w:hint="eastAsia"/>
          <w:b w:val="0"/>
          <w:bCs/>
          <w:sz w:val="22"/>
          <w:szCs w:val="22"/>
          <w:lang w:val="en-US" w:eastAsia="zh-CN"/>
        </w:rPr>
        <w:t>t support this solution (see the agreement marked in yellow), RAN1 made the decision overlooking the scenario of Msg1 or MsgA re-transmission, and thus, it will likely be re-discussed in RAN1. It is proposed that RAN4 wait for further agreements in RAN1 to proceed.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RAN1 may agree on supporting NCD-SSB in the separate initial BWP for IDLE/INACTIVE UEs.</w:t>
      </w:r>
    </w:p>
    <w:p>
      <w:pPr>
        <w:pStyle w:val="36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Regarding RAN2 LS on RSRP measurement, RAN4 wait for potential new agreement in RAN1 to proceed.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pStyle w:val="36"/>
        <w:numPr>
          <w:ilvl w:val="0"/>
          <w:numId w:val="0"/>
        </w:numPr>
        <w:ind w:leftChars="0"/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RACH is transmitted in UL and shall have the top priority during HO.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Any agreement can be captured in the spec in a way that describes the applicability of the requirements, instead of mandating specific UE/NW behavior.</w:t>
      </w:r>
    </w:p>
    <w:p>
      <w:pPr>
        <w:pStyle w:val="26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Proposal 2: </w:t>
      </w:r>
      <w:r>
        <w:rPr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The UE shall meet HO requirements provided the following is met:</w:t>
      </w:r>
    </w:p>
    <w:p>
      <w:pPr>
        <w:pStyle w:val="26"/>
        <w:numPr>
          <w:ilvl w:val="2"/>
          <w:numId w:val="7"/>
        </w:numPr>
        <w:ind w:firstLineChars="0"/>
        <w:rPr>
          <w:rFonts w:eastAsia="Yu Mincho"/>
          <w:b/>
          <w:bCs/>
          <w:color w:val="000000"/>
          <w:sz w:val="22"/>
          <w:szCs w:val="22"/>
          <w:lang w:eastAsia="ko-KR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SSB is available at the UE once every SMTC period during Tsearch.</w:t>
      </w:r>
    </w:p>
    <w:p>
      <w:pPr>
        <w:pStyle w:val="26"/>
        <w:numPr>
          <w:ilvl w:val="2"/>
          <w:numId w:val="7"/>
        </w:numPr>
        <w:ind w:firstLineChars="0"/>
        <w:rPr>
          <w:rFonts w:hint="default"/>
          <w:b/>
          <w:bCs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One SSB is available during T</w:t>
      </w:r>
      <w:r>
        <w:rPr>
          <w:rFonts w:eastAsia="Times New Roman"/>
          <w:b/>
          <w:bCs/>
          <w:sz w:val="22"/>
          <w:szCs w:val="22"/>
          <w:vertAlign w:val="subscript"/>
          <w:lang w:eastAsia="sv-SE"/>
        </w:rPr>
        <w:t>∆</w:t>
      </w:r>
    </w:p>
    <w:p>
      <w:pPr>
        <w:pStyle w:val="26"/>
        <w:numPr>
          <w:ilvl w:val="2"/>
          <w:numId w:val="7"/>
        </w:numPr>
        <w:ind w:firstLineChars="0"/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eastAsia="Times New Roman"/>
          <w:b/>
          <w:bCs/>
          <w:sz w:val="22"/>
          <w:szCs w:val="22"/>
          <w:lang w:eastAsia="sv-SE"/>
        </w:rPr>
        <w:t>One SSB is available during Tiu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3: Early identification doesn</w:t>
      </w:r>
      <w:r>
        <w:rPr>
          <w:rFonts w:hint="default"/>
          <w:b/>
          <w:bCs w:val="0"/>
          <w:sz w:val="22"/>
          <w:szCs w:val="22"/>
          <w:lang w:val="en-US" w:eastAsia="zh-CN"/>
        </w:rPr>
        <w:t>’</w:t>
      </w:r>
      <w:r>
        <w:rPr>
          <w:rFonts w:hint="eastAsia"/>
          <w:b/>
          <w:bCs w:val="0"/>
          <w:sz w:val="22"/>
          <w:szCs w:val="22"/>
          <w:lang w:val="en-US" w:eastAsia="zh-CN"/>
        </w:rPr>
        <w:t>t impact RA requirements.</w:t>
      </w:r>
    </w:p>
    <w:p>
      <w:pPr>
        <w:rPr>
          <w:rFonts w:hint="default"/>
          <w:b w:val="0"/>
          <w:bCs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Observation 2: </w:t>
      </w:r>
      <w:r>
        <w:rPr>
          <w:rFonts w:hint="eastAsia"/>
          <w:b w:val="0"/>
          <w:bCs/>
          <w:sz w:val="22"/>
          <w:szCs w:val="22"/>
          <w:lang w:val="en-US" w:eastAsia="zh-CN"/>
        </w:rPr>
        <w:t>RAN1 may agree on supporting NCD-SSB in the separate initial BWP for IDLE/INACTIVE UEs.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4: Regarding RAN2 LS on RSRP measurement, RAN4 wait for potential new agreement in RAN1 to proceed.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R4-2202670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R4-2203510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554694"/>
    <w:multiLevelType w:val="multilevel"/>
    <w:tmpl w:val="14554694"/>
    <w:lvl w:ilvl="0" w:tentative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2"/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Times New Roman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A6F40E1"/>
    <w:multiLevelType w:val="multilevel"/>
    <w:tmpl w:val="1A6F40E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DF71263"/>
    <w:multiLevelType w:val="multilevel"/>
    <w:tmpl w:val="2DF71263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222E42"/>
    <w:rsid w:val="07432934"/>
    <w:rsid w:val="07502CA2"/>
    <w:rsid w:val="07654F8B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7F6CB7"/>
    <w:rsid w:val="099F556C"/>
    <w:rsid w:val="09AC0546"/>
    <w:rsid w:val="09C640C3"/>
    <w:rsid w:val="09CA3DC1"/>
    <w:rsid w:val="0A5763D4"/>
    <w:rsid w:val="0A7BF868"/>
    <w:rsid w:val="0A9573F8"/>
    <w:rsid w:val="0B0E3CBB"/>
    <w:rsid w:val="0B7322DC"/>
    <w:rsid w:val="0B73279C"/>
    <w:rsid w:val="0BB77882"/>
    <w:rsid w:val="0C264ADF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9D0080"/>
    <w:rsid w:val="0DA958CA"/>
    <w:rsid w:val="0DF104D3"/>
    <w:rsid w:val="0E1C586B"/>
    <w:rsid w:val="0E2D1B5C"/>
    <w:rsid w:val="0E5D5336"/>
    <w:rsid w:val="0E8A024B"/>
    <w:rsid w:val="0ED138E6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6D142A"/>
    <w:rsid w:val="11F71F3A"/>
    <w:rsid w:val="11FC7DAB"/>
    <w:rsid w:val="122017FC"/>
    <w:rsid w:val="12753179"/>
    <w:rsid w:val="128409CA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15917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065B8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6A351B"/>
    <w:rsid w:val="23855295"/>
    <w:rsid w:val="238F59E1"/>
    <w:rsid w:val="23B20773"/>
    <w:rsid w:val="23CF6D67"/>
    <w:rsid w:val="23FF1EED"/>
    <w:rsid w:val="248F188B"/>
    <w:rsid w:val="24BD0518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431356"/>
    <w:rsid w:val="2A532672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495744"/>
    <w:rsid w:val="2C654EAF"/>
    <w:rsid w:val="2CEE6B8D"/>
    <w:rsid w:val="2CF93A32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801B22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06D34"/>
    <w:rsid w:val="4231216C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A81808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3D744C8"/>
    <w:rsid w:val="540D782C"/>
    <w:rsid w:val="542F1421"/>
    <w:rsid w:val="543973F0"/>
    <w:rsid w:val="544B51D2"/>
    <w:rsid w:val="54662BE5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C73508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1F38CF"/>
    <w:rsid w:val="5F3C6FC1"/>
    <w:rsid w:val="5FA5608D"/>
    <w:rsid w:val="60017F85"/>
    <w:rsid w:val="60032276"/>
    <w:rsid w:val="6045086B"/>
    <w:rsid w:val="60745B63"/>
    <w:rsid w:val="60AC01F6"/>
    <w:rsid w:val="60B3228B"/>
    <w:rsid w:val="60C45913"/>
    <w:rsid w:val="60D2137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01440C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D1452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22207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A4FF2"/>
    <w:rsid w:val="7C41564D"/>
    <w:rsid w:val="7C560C4A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annotation subject"/>
    <w:basedOn w:val="8"/>
    <w:next w:val="8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7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9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1"/>
    <w:qFormat/>
    <w:uiPriority w:val="0"/>
  </w:style>
  <w:style w:type="paragraph" w:customStyle="1" w:styleId="6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68">
    <w:name w:val="B3"/>
    <w:basedOn w:val="1"/>
    <w:qFormat/>
    <w:uiPriority w:val="0"/>
    <w:pPr>
      <w:ind w:left="1135" w:hanging="284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EAA4E9F1-3478-4E48-ACB7-A0EA7CF8F594}">
  <ds:schemaRefs/>
</ds:datastoreItem>
</file>

<file path=customXml/itemProps4.xml><?xml version="1.0" encoding="utf-8"?>
<ds:datastoreItem xmlns:ds="http://schemas.openxmlformats.org/officeDocument/2006/customXml" ds:itemID="{DDD117E1-8C1C-466A-8D7F-EAF64C1488C0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E173285D-2887-45E3-A024-3D1E71CC8E74}">
  <ds:schemaRefs/>
</ds:datastoreItem>
</file>

<file path=customXml/itemProps7.xml><?xml version="1.0" encoding="utf-8"?>
<ds:datastoreItem xmlns:ds="http://schemas.openxmlformats.org/officeDocument/2006/customXml" ds:itemID="{9B5B53C8-48A5-44AD-B897-E90CB0B8E3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0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2022-02-14T15:11:33Z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